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51461">
      <w:pPr>
        <w:widowControl/>
        <w:spacing w:after="0" w:line="240" w:lineRule="auto"/>
        <w:jc w:val="center"/>
        <w:rPr>
          <w:rFonts w:hint="eastAsia" w:ascii="方正小标宋简体" w:eastAsia="方正小标宋简体"/>
          <w:spacing w:val="-20"/>
          <w:sz w:val="44"/>
          <w:szCs w:val="44"/>
          <w:lang w:eastAsia="zh-CN"/>
        </w:rPr>
      </w:pPr>
      <w:r>
        <w:rPr>
          <w:rFonts w:hint="eastAsia" w:ascii="方正小标宋简体" w:eastAsia="方正小标宋简体"/>
          <w:spacing w:val="-20"/>
          <w:sz w:val="44"/>
          <w:szCs w:val="44"/>
          <w:lang w:eastAsia="zh-CN"/>
        </w:rPr>
        <w:t>《</w:t>
      </w:r>
      <w:r>
        <w:rPr>
          <w:rFonts w:hint="eastAsia" w:ascii="方正小标宋简体" w:eastAsia="方正小标宋简体"/>
          <w:spacing w:val="-20"/>
          <w:sz w:val="44"/>
          <w:szCs w:val="44"/>
        </w:rPr>
        <w:t>基于骨髓间充质干细胞命运决定的骨衰老表观遗传机制及原位修复研究</w:t>
      </w:r>
      <w:r>
        <w:rPr>
          <w:rFonts w:hint="eastAsia" w:ascii="方正小标宋简体" w:eastAsia="方正小标宋简体"/>
          <w:spacing w:val="-20"/>
          <w:sz w:val="44"/>
          <w:szCs w:val="44"/>
          <w:lang w:eastAsia="zh-CN"/>
        </w:rPr>
        <w:t>》</w:t>
      </w:r>
    </w:p>
    <w:p w14:paraId="2448F6DA">
      <w:pPr>
        <w:widowControl/>
        <w:spacing w:after="0" w:line="240" w:lineRule="auto"/>
        <w:jc w:val="center"/>
        <w:rPr>
          <w:rFonts w:hint="eastAsia" w:ascii="方正小标宋简体" w:eastAsia="方正小标宋简体"/>
          <w:spacing w:val="-20"/>
          <w:sz w:val="44"/>
          <w:szCs w:val="44"/>
          <w:lang w:eastAsia="zh-CN"/>
        </w:rPr>
      </w:pPr>
      <w:r>
        <w:rPr>
          <w:rFonts w:hint="eastAsia" w:ascii="方正小标宋简体" w:eastAsia="方正小标宋简体"/>
          <w:spacing w:val="-20"/>
          <w:sz w:val="44"/>
          <w:szCs w:val="44"/>
        </w:rPr>
        <w:t>项目信息</w:t>
      </w:r>
    </w:p>
    <w:p w14:paraId="7BF6EAB4">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 w:val="0"/>
          <w:bCs w:val="0"/>
          <w:sz w:val="32"/>
          <w:szCs w:val="32"/>
        </w:rPr>
        <w:t>基于骨髓间充质干细胞命运决定的骨衰老表观遗传机制及原位修复研究</w:t>
      </w:r>
    </w:p>
    <w:p w14:paraId="7A6204BA">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提名者：</w:t>
      </w:r>
      <w:r>
        <w:rPr>
          <w:rFonts w:hint="eastAsia" w:ascii="仿宋_GB2312" w:hAnsi="仿宋_GB2312" w:eastAsia="仿宋_GB2312" w:cs="仿宋_GB2312"/>
          <w:b w:val="0"/>
          <w:bCs w:val="0"/>
          <w:sz w:val="32"/>
          <w:szCs w:val="32"/>
        </w:rPr>
        <w:t>昆明医科大学</w:t>
      </w:r>
    </w:p>
    <w:p w14:paraId="33088E1D">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提名等级：</w:t>
      </w:r>
      <w:r>
        <w:rPr>
          <w:rFonts w:hint="eastAsia" w:ascii="仿宋_GB2312" w:hAnsi="仿宋_GB2312" w:eastAsia="仿宋_GB2312" w:cs="仿宋_GB2312"/>
          <w:b w:val="0"/>
          <w:bCs w:val="0"/>
          <w:sz w:val="32"/>
          <w:szCs w:val="32"/>
        </w:rPr>
        <w:t>云南省自然科学奖二等奖</w:t>
      </w:r>
    </w:p>
    <w:p w14:paraId="515B9F6C">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主要完成单位：</w:t>
      </w:r>
      <w:r>
        <w:rPr>
          <w:rFonts w:hint="eastAsia" w:ascii="仿宋_GB2312" w:hAnsi="仿宋_GB2312" w:eastAsia="仿宋_GB2312" w:cs="仿宋_GB2312"/>
          <w:b w:val="0"/>
          <w:bCs w:val="0"/>
          <w:sz w:val="32"/>
          <w:szCs w:val="32"/>
        </w:rPr>
        <w:t>昆明医科大学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昆明医科大学第六附属医院</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昆明医科大学第二附属医院</w:t>
      </w:r>
    </w:p>
    <w:p w14:paraId="2EE15C8C">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项目简介：</w:t>
      </w:r>
    </w:p>
    <w:p w14:paraId="30CD8CE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 立项背景</w:t>
      </w:r>
      <w:r>
        <w:rPr>
          <w:rFonts w:hint="eastAsia" w:ascii="仿宋_GB2312" w:hAnsi="仿宋_GB2312" w:eastAsia="仿宋_GB2312" w:cs="仿宋_GB2312"/>
          <w:sz w:val="32"/>
          <w:szCs w:val="32"/>
        </w:rPr>
        <w:t xml:space="preserve"> </w:t>
      </w:r>
    </w:p>
    <w:p w14:paraId="7CB7ECE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随着老龄化社会的到来，以骨质疏松和肌少症为代表的退行性病变导致的脆性骨折，具有极高的致残率和致死率。传统的临床干预往往面临三大瓶颈：</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宏观层面，医学界长期将“骨量-肌肉丢失”割裂看待，缺乏对“骨肌共病”致灾风险的系统预警；</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微观层面骨质疏松的底层发病机制（骨髓间充质干细胞分化命运的失衡）尚未被完全破译；</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转化层面传统的骨折修复极度依赖侵入性手术，创伤大且极易引发并发症。面对上述挑战，本项目历经多年深耕，遵循“宏观临床预警 → 微观靶点破译 → 前沿医工转化”的完整科学逻辑，系统揭示了骨衰老从发生、演进到原位无创修复的全链条机制，并取得了一系列具有国际影响力的原创性突破。</w:t>
      </w:r>
    </w:p>
    <w:p w14:paraId="7FDF049E">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 重要科学发现</w:t>
      </w:r>
    </w:p>
    <w:p w14:paraId="238DFF26">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发现一：界定了“骨肌减少症”的致灾高风险，明确了骨衰老早期干预的临床迫切性。</w:t>
      </w:r>
      <w:r>
        <w:rPr>
          <w:rFonts w:hint="eastAsia" w:ascii="仿宋_GB2312" w:hAnsi="仿宋_GB2312" w:eastAsia="仿宋_GB2312" w:cs="仿宋_GB2312"/>
          <w:sz w:val="32"/>
          <w:szCs w:val="32"/>
        </w:rPr>
        <w:t>传统研究往往将骨质疏松与肌肉萎缩孤立看待。本项目打破这一局限，通过纳入超79万例大样本分析，首次系统证实，肌少症与骨质疏松存在高度正相关，骨质疏松显著增加肌少症发病风险，反之亦然。更为重要的是，本项目基于多项大型队列研究确证，“骨肌减少症”这一新型老年综合征，会显著增加老年群体的骨折风险（OR=2.46）、跌倒发生率（OR=1.62）以及全因死亡率（OR=1.66）。这一发现将骨衰老的临床认知从单一的“骨量流失”跨越升级为“骨肌系统衰退”，为寻找更早期的干预靶点提供了坚实的循证医学基础。</w:t>
      </w:r>
    </w:p>
    <w:p w14:paraId="0D695D78">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发现二：系统揭示了决定骨髓间充质干细胞（BMSCs）命运的多维表观遗传与三维基因组调控网络，找到了骨衰老的核心“分子开关”。</w:t>
      </w:r>
      <w:r>
        <w:rPr>
          <w:rFonts w:hint="eastAsia" w:ascii="仿宋_GB2312" w:hAnsi="仿宋_GB2312" w:eastAsia="仿宋_GB2312" w:cs="仿宋_GB2312"/>
          <w:sz w:val="32"/>
          <w:szCs w:val="32"/>
        </w:rPr>
        <w:t>BMSCs向成骨细胞分化受阻是骨质疏松的核心病理。BMMSCs向成骨细胞分化受阻是骨质疏松的核心病理。本项目在国际上率先破译了决定干细胞命运的多维度机制密码：</w:t>
      </w:r>
      <w:r>
        <w:rPr>
          <w:rFonts w:hint="eastAsia" w:ascii="仿宋_GB2312" w:hAnsi="仿宋_GB2312" w:eastAsia="仿宋_GB2312" w:cs="仿宋_GB2312"/>
          <w:b/>
          <w:bCs/>
          <w:sz w:val="32"/>
          <w:szCs w:val="32"/>
        </w:rPr>
        <w:t>三维基因组与空间构象解析：</w:t>
      </w:r>
      <w:r>
        <w:rPr>
          <w:rFonts w:hint="eastAsia" w:ascii="仿宋_GB2312" w:hAnsi="仿宋_GB2312" w:eastAsia="仿宋_GB2312" w:cs="仿宋_GB2312"/>
          <w:sz w:val="32"/>
          <w:szCs w:val="32"/>
        </w:rPr>
        <w:t>首次利用DLO Hi-C和ATAC-seq技术绘制了BMSCs分化过程中的染色质空间结构全景图，发现A/B区室转换和拓扑关联结构域（TADs）的重排是调控成骨关键基因表达的底层机制；并结合eQTL及GWAS数据精准定位了数百个与骨质疏松直接相关的单核苷酸多态性（SNPs）风险位点及靶基因。</w:t>
      </w:r>
      <w:r>
        <w:rPr>
          <w:rFonts w:hint="eastAsia" w:ascii="仿宋_GB2312" w:hAnsi="仿宋_GB2312" w:eastAsia="仿宋_GB2312" w:cs="仿宋_GB2312"/>
          <w:b/>
          <w:bCs/>
          <w:sz w:val="32"/>
          <w:szCs w:val="32"/>
        </w:rPr>
        <w:t>外泌体与lncRNA海绵机制：</w:t>
      </w:r>
      <w:r>
        <w:rPr>
          <w:rFonts w:hint="eastAsia" w:ascii="仿宋_GB2312" w:hAnsi="仿宋_GB2312" w:eastAsia="仿宋_GB2312" w:cs="仿宋_GB2312"/>
          <w:sz w:val="32"/>
          <w:szCs w:val="32"/>
        </w:rPr>
        <w:t>率先绘制了骨质疏松患者血清外泌体lncRNAs的差异表达图谱（界定了393个差异lncRNAs），证实其高度富集于骨代谢通路；同时发现lncRNA TUG1在骨质疏松中显著下调，其作为“分子海绵”吸附miR-23b，从而解除对核心成骨转录因子RUNX2的抑制，促进干细胞的成骨分化。</w:t>
      </w:r>
      <w:r>
        <w:rPr>
          <w:rFonts w:hint="eastAsia" w:ascii="仿宋_GB2312" w:hAnsi="仿宋_GB2312" w:eastAsia="仿宋_GB2312" w:cs="仿宋_GB2312"/>
          <w:b/>
          <w:bCs/>
          <w:sz w:val="32"/>
          <w:szCs w:val="32"/>
        </w:rPr>
        <w:t>miRNA靶向干预机制：</w:t>
      </w:r>
      <w:r>
        <w:rPr>
          <w:rFonts w:hint="eastAsia" w:ascii="仿宋_GB2312" w:hAnsi="仿宋_GB2312" w:eastAsia="仿宋_GB2312" w:cs="仿宋_GB2312"/>
          <w:sz w:val="32"/>
          <w:szCs w:val="32"/>
        </w:rPr>
        <w:t>探明了miR-142-5p可通过直接靶向黏附分子VCAM-1，显著抑制BMMSCs的迁移与成骨分化；并证实miR-542-3p能通过靶向抑制Wnt通路的负调控因子SFRP1，有效促进骨形成并预防卵巢早衰诱导的骨质疏松。这些发现成功构建了“三维染色质-外泌体-lncRNA-miRNA-靶基因”的立体调控闭环，为骨再生提供了精准分子靶点。</w:t>
      </w:r>
    </w:p>
    <w:p w14:paraId="5DDAF3DD">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发现三：首创基于上转换纳米发光的近红外3D生物打印技术，实现骨修复从“有创”到“无创原位”的范式革新。</w:t>
      </w:r>
      <w:r>
        <w:rPr>
          <w:rFonts w:hint="eastAsia" w:ascii="仿宋_GB2312" w:hAnsi="仿宋_GB2312" w:eastAsia="仿宋_GB2312" w:cs="仿宋_GB2312"/>
          <w:sz w:val="32"/>
          <w:szCs w:val="32"/>
        </w:rPr>
        <w:t>针对传统紫外光固化3D打印穿透深度浅、具生物毒性且无法在活体深层组织内成型的医学工程瓶颈，本项目开发了一种全新的上转换纳米颗粒（UCNPs）辅助的近红外3D生物打印技术。本项目创新性设计的NaYF4:Tm3+@NaYbF4@NaYF4核-壳-壳结构，能够高效将具有深层组织穿透力的近红外光（980 nm）转换为蓝紫光（300-500 nm），从而在活体内原位触发含水凝胶（Gel MA）单体的聚合交联。结合自主研发的三维坐标定位系统，在国际上率先实现了骨折固定支架在动物体内的无创、原位、定制化3D打印成型。该支架能紧密贴合并提供强大的机械支撑，彻底打破了骨折固定极度依赖侵入性手术的壁垒，为退行性骨病及脆性骨折提供了革命性的无创医工交叉干预新策略。</w:t>
      </w:r>
    </w:p>
    <w:p w14:paraId="719664C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 科学价值与评价</w:t>
      </w:r>
      <w:r>
        <w:rPr>
          <w:rFonts w:hint="eastAsia" w:ascii="仿宋_GB2312" w:hAnsi="仿宋_GB2312" w:eastAsia="仿宋_GB2312" w:cs="仿宋_GB2312"/>
          <w:sz w:val="32"/>
          <w:szCs w:val="32"/>
        </w:rPr>
        <w:t xml:space="preserve"> </w:t>
      </w:r>
    </w:p>
    <w:p w14:paraId="6E6C33F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建立了一条“宏观临床大数据预警→微观细胞命运及三维基因组解析→无创工程学原位修复”的完整创新链条。研究成果不仅从表观遗传与空间基因组学维度极大丰富了退行性骨病的发病机制学说，更在生物医用材料领域取得了从“体外制造”到“体内无创成型”的革命性范式突破。为骨肌衰老的早期诊疗、靶向干预和微创乃至无创修复提供了前所未有的理论支撑和技术手段。</w:t>
      </w:r>
    </w:p>
    <w:p w14:paraId="02C88D17">
      <w:pPr>
        <w:spacing w:line="360" w:lineRule="auto"/>
        <w:ind w:firstLine="640" w:firstLineChars="200"/>
        <w:rPr>
          <w:rFonts w:hint="eastAsia" w:ascii="仿宋_GB2312" w:hAnsi="仿宋_GB2312" w:eastAsia="仿宋_GB2312" w:cs="仿宋_GB2312"/>
          <w:sz w:val="32"/>
          <w:szCs w:val="32"/>
        </w:rPr>
      </w:pPr>
    </w:p>
    <w:p w14:paraId="6AC8D761">
      <w:pPr>
        <w:spacing w:line="360" w:lineRule="auto"/>
        <w:ind w:firstLine="640" w:firstLineChars="200"/>
        <w:rPr>
          <w:rFonts w:hint="eastAsia" w:ascii="仿宋_GB2312" w:hAnsi="仿宋_GB2312" w:eastAsia="仿宋_GB2312" w:cs="仿宋_GB2312"/>
          <w:sz w:val="32"/>
          <w:szCs w:val="32"/>
        </w:rPr>
      </w:pPr>
    </w:p>
    <w:p w14:paraId="641F6FE6">
      <w:pPr>
        <w:spacing w:line="360" w:lineRule="auto"/>
        <w:ind w:firstLine="640" w:firstLineChars="200"/>
        <w:rPr>
          <w:rFonts w:hint="eastAsia" w:ascii="仿宋_GB2312" w:hAnsi="仿宋_GB2312" w:eastAsia="仿宋_GB2312" w:cs="仿宋_GB2312"/>
          <w:sz w:val="32"/>
          <w:szCs w:val="32"/>
        </w:rPr>
      </w:pPr>
    </w:p>
    <w:p w14:paraId="268A59D5">
      <w:pPr>
        <w:spacing w:line="360" w:lineRule="auto"/>
        <w:ind w:firstLine="640" w:firstLineChars="200"/>
        <w:rPr>
          <w:rFonts w:hint="eastAsia" w:ascii="仿宋_GB2312" w:hAnsi="仿宋_GB2312" w:eastAsia="仿宋_GB2312" w:cs="仿宋_GB2312"/>
          <w:sz w:val="32"/>
          <w:szCs w:val="32"/>
        </w:rPr>
      </w:pPr>
    </w:p>
    <w:p w14:paraId="720B88EE">
      <w:pPr>
        <w:spacing w:line="360" w:lineRule="auto"/>
        <w:ind w:firstLine="640" w:firstLineChars="200"/>
        <w:rPr>
          <w:rFonts w:hint="eastAsia" w:ascii="仿宋_GB2312" w:hAnsi="仿宋_GB2312" w:eastAsia="仿宋_GB2312" w:cs="仿宋_GB2312"/>
          <w:sz w:val="32"/>
          <w:szCs w:val="32"/>
        </w:rPr>
      </w:pPr>
    </w:p>
    <w:p w14:paraId="736A5792">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代表性论文（专著）目录：</w:t>
      </w:r>
    </w:p>
    <w:tbl>
      <w:tblPr>
        <w:tblStyle w:val="6"/>
        <w:tblpPr w:leftFromText="180" w:rightFromText="180" w:vertAnchor="text" w:horzAnchor="margin" w:tblpX="-964" w:tblpY="628"/>
        <w:tblOverlap w:val="never"/>
        <w:tblW w:w="13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120"/>
        <w:gridCol w:w="2547"/>
        <w:gridCol w:w="2932"/>
        <w:gridCol w:w="2932"/>
      </w:tblGrid>
      <w:tr w14:paraId="4E6ADE16">
        <w:tc>
          <w:tcPr>
            <w:tcW w:w="1687" w:type="dxa"/>
            <w:vAlign w:val="center"/>
          </w:tcPr>
          <w:p w14:paraId="3A1BEB7D">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3120" w:type="dxa"/>
            <w:vAlign w:val="center"/>
          </w:tcPr>
          <w:p w14:paraId="025FE19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论文标题</w:t>
            </w:r>
          </w:p>
        </w:tc>
        <w:tc>
          <w:tcPr>
            <w:tcW w:w="2547" w:type="dxa"/>
            <w:vAlign w:val="center"/>
          </w:tcPr>
          <w:p w14:paraId="1785815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作者名称</w:t>
            </w:r>
          </w:p>
        </w:tc>
        <w:tc>
          <w:tcPr>
            <w:tcW w:w="2932" w:type="dxa"/>
            <w:vAlign w:val="center"/>
          </w:tcPr>
          <w:p w14:paraId="65D09F3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中文名称</w:t>
            </w:r>
          </w:p>
        </w:tc>
        <w:tc>
          <w:tcPr>
            <w:tcW w:w="2932" w:type="dxa"/>
            <w:vAlign w:val="center"/>
          </w:tcPr>
          <w:p w14:paraId="28A1349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rPr>
            </w:pPr>
          </w:p>
        </w:tc>
      </w:tr>
      <w:tr w14:paraId="49E37DAB">
        <w:tc>
          <w:tcPr>
            <w:tcW w:w="1687" w:type="dxa"/>
            <w:vAlign w:val="center"/>
          </w:tcPr>
          <w:p w14:paraId="727CDA3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120" w:type="dxa"/>
            <w:vAlign w:val="center"/>
          </w:tcPr>
          <w:p w14:paraId="0DB4A36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pooled analysis of the association between sarcopenia and osteoporosis</w:t>
            </w:r>
          </w:p>
        </w:tc>
        <w:tc>
          <w:tcPr>
            <w:tcW w:w="2547" w:type="dxa"/>
            <w:vAlign w:val="center"/>
          </w:tcPr>
          <w:p w14:paraId="3CF238C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Xiaochao Yu</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 xml:space="preserve">, Shuo Sun, Shaoxiong Zhang, Qinggang Hao, Boheng Zhu, Yirong Teng, Qing Long, Shujun Li, Yan Lv, Qiaoning Yue, Sheng Lu, </w:t>
            </w:r>
            <w:r>
              <w:rPr>
                <w:rFonts w:hint="eastAsia" w:ascii="仿宋_GB2312" w:hAnsi="仿宋_GB2312" w:eastAsia="仿宋_GB2312" w:cs="仿宋_GB2312"/>
                <w:b/>
                <w:bCs/>
                <w:sz w:val="32"/>
                <w:szCs w:val="32"/>
              </w:rPr>
              <w:t>Zhaowei Teng*</w:t>
            </w:r>
          </w:p>
        </w:tc>
        <w:tc>
          <w:tcPr>
            <w:tcW w:w="2932" w:type="dxa"/>
            <w:vAlign w:val="center"/>
          </w:tcPr>
          <w:p w14:paraId="2FB78089">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肌少症与骨质疏松症关联性分析</w:t>
            </w:r>
          </w:p>
        </w:tc>
        <w:tc>
          <w:tcPr>
            <w:tcW w:w="2932" w:type="dxa"/>
            <w:vAlign w:val="center"/>
          </w:tcPr>
          <w:p w14:paraId="014E3FE4">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45269B44">
        <w:tc>
          <w:tcPr>
            <w:tcW w:w="1687" w:type="dxa"/>
            <w:vAlign w:val="center"/>
          </w:tcPr>
          <w:p w14:paraId="04EB468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120" w:type="dxa"/>
            <w:vAlign w:val="center"/>
          </w:tcPr>
          <w:p w14:paraId="2403A1C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An analysis and systematic review of sarcopenia increasing osteopenia risk</w:t>
            </w:r>
          </w:p>
        </w:tc>
        <w:tc>
          <w:tcPr>
            <w:tcW w:w="2547" w:type="dxa"/>
            <w:vAlign w:val="center"/>
          </w:tcPr>
          <w:p w14:paraId="55A213F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Zhaowei Teng</w:t>
            </w:r>
            <w:r>
              <w:rPr>
                <w:rFonts w:hint="eastAsia" w:ascii="仿宋_GB2312" w:hAnsi="仿宋_GB2312" w:eastAsia="仿宋_GB2312" w:cs="仿宋_GB2312"/>
                <w:b/>
                <w:sz w:val="32"/>
                <w:szCs w:val="32"/>
                <w:vertAlign w:val="superscript"/>
              </w:rPr>
              <w:t>#</w:t>
            </w:r>
            <w:r>
              <w:rPr>
                <w:rFonts w:hint="eastAsia" w:ascii="仿宋_GB2312" w:hAnsi="仿宋_GB2312" w:eastAsia="仿宋_GB2312" w:cs="仿宋_GB2312"/>
                <w:sz w:val="32"/>
                <w:szCs w:val="32"/>
              </w:rPr>
              <w:t>, Yun Zhu</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 Xiaochao Yu, Jie Liu, Qing Long, Yong Zeng*, Sheng Lu*</w:t>
            </w:r>
          </w:p>
        </w:tc>
        <w:tc>
          <w:tcPr>
            <w:tcW w:w="2932" w:type="dxa"/>
            <w:vAlign w:val="center"/>
          </w:tcPr>
          <w:p w14:paraId="299B8E7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肌少症增加骨量减少风险的分析与系统综述</w:t>
            </w:r>
          </w:p>
        </w:tc>
        <w:tc>
          <w:tcPr>
            <w:tcW w:w="2932" w:type="dxa"/>
            <w:vAlign w:val="center"/>
          </w:tcPr>
          <w:p w14:paraId="473185B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5F528CA6">
        <w:tc>
          <w:tcPr>
            <w:tcW w:w="1687" w:type="dxa"/>
            <w:vAlign w:val="center"/>
          </w:tcPr>
          <w:p w14:paraId="369508E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120" w:type="dxa"/>
            <w:vAlign w:val="center"/>
          </w:tcPr>
          <w:p w14:paraId="067D01E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bookmarkStart w:id="0" w:name="OLE_LINK2"/>
            <w:r>
              <w:rPr>
                <w:rFonts w:hint="eastAsia" w:ascii="仿宋_GB2312" w:hAnsi="仿宋_GB2312" w:eastAsia="仿宋_GB2312" w:cs="仿宋_GB2312"/>
                <w:sz w:val="32"/>
                <w:szCs w:val="32"/>
              </w:rPr>
              <w:t>Long non-coding RNA taurine upregulated gene 1 is downregulated in osteoporosis and influences the osteogenic differentiation of bone marrow mesenchymal stem cells</w:t>
            </w:r>
            <w:bookmarkEnd w:id="0"/>
          </w:p>
        </w:tc>
        <w:tc>
          <w:tcPr>
            <w:tcW w:w="2547" w:type="dxa"/>
            <w:vAlign w:val="center"/>
          </w:tcPr>
          <w:p w14:paraId="15E09B0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bookmarkStart w:id="1" w:name="OLE_LINK3"/>
            <w:r>
              <w:rPr>
                <w:rFonts w:hint="eastAsia" w:ascii="仿宋_GB2312" w:hAnsi="仿宋_GB2312" w:eastAsia="仿宋_GB2312" w:cs="仿宋_GB2312"/>
                <w:b/>
                <w:sz w:val="32"/>
                <w:szCs w:val="32"/>
              </w:rPr>
              <w:t>Zhaowei Teng</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 Yun Zhu, Qinggang Hao, Xiaochao Yu, Yirong Teng, Qiaoning Yue, Xiguang Zhang*, Sheng Lu*</w:t>
            </w:r>
            <w:bookmarkEnd w:id="1"/>
          </w:p>
        </w:tc>
        <w:tc>
          <w:tcPr>
            <w:tcW w:w="2932" w:type="dxa"/>
            <w:vAlign w:val="center"/>
          </w:tcPr>
          <w:p w14:paraId="342253E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长非编码RNA TUG1在骨质疏松症中影响骨髓间充质干细胞成骨分化</w:t>
            </w:r>
          </w:p>
        </w:tc>
        <w:tc>
          <w:tcPr>
            <w:tcW w:w="2932" w:type="dxa"/>
            <w:vAlign w:val="center"/>
          </w:tcPr>
          <w:p w14:paraId="416DED4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611A4E60">
        <w:tc>
          <w:tcPr>
            <w:tcW w:w="1687" w:type="dxa"/>
            <w:vAlign w:val="center"/>
          </w:tcPr>
          <w:p w14:paraId="7C9C7814">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120" w:type="dxa"/>
            <w:vAlign w:val="center"/>
          </w:tcPr>
          <w:p w14:paraId="6D77A99C">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The analysis of osteosarcopenia as a risk factor for fractures, mortality, and falls</w:t>
            </w:r>
          </w:p>
        </w:tc>
        <w:tc>
          <w:tcPr>
            <w:tcW w:w="2547" w:type="dxa"/>
            <w:vAlign w:val="center"/>
          </w:tcPr>
          <w:p w14:paraId="227A3120">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Zhaowei Teng</w:t>
            </w:r>
            <w:r>
              <w:rPr>
                <w:rFonts w:hint="eastAsia" w:ascii="仿宋_GB2312" w:hAnsi="仿宋_GB2312" w:eastAsia="仿宋_GB2312" w:cs="仿宋_GB2312"/>
                <w:b/>
                <w:sz w:val="32"/>
                <w:szCs w:val="32"/>
                <w:vertAlign w:val="superscript"/>
              </w:rPr>
              <w:t>#</w:t>
            </w:r>
            <w:r>
              <w:rPr>
                <w:rFonts w:hint="eastAsia" w:ascii="仿宋_GB2312" w:hAnsi="仿宋_GB2312" w:eastAsia="仿宋_GB2312" w:cs="仿宋_GB2312"/>
                <w:sz w:val="32"/>
                <w:szCs w:val="32"/>
              </w:rPr>
              <w:t>,Yun Zhu</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 Yirong Teng, Qing Long, Qingang Hao, Xiaochao Yu, Lirong  Yang, Yan Lv, Jie Liu, Yong Zeng*, Lu Sheng*</w:t>
            </w:r>
          </w:p>
        </w:tc>
        <w:tc>
          <w:tcPr>
            <w:tcW w:w="2932" w:type="dxa"/>
            <w:vAlign w:val="center"/>
          </w:tcPr>
          <w:p w14:paraId="4348D68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骨肌减少症作为骨折、死亡和跌倒的风险因素分析</w:t>
            </w:r>
          </w:p>
        </w:tc>
        <w:tc>
          <w:tcPr>
            <w:tcW w:w="2932" w:type="dxa"/>
            <w:vAlign w:val="center"/>
          </w:tcPr>
          <w:p w14:paraId="676805C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19512DCF">
        <w:tc>
          <w:tcPr>
            <w:tcW w:w="1687" w:type="dxa"/>
            <w:vAlign w:val="center"/>
          </w:tcPr>
          <w:p w14:paraId="4FF6BE7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3120" w:type="dxa"/>
            <w:vAlign w:val="center"/>
          </w:tcPr>
          <w:p w14:paraId="4B826A7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Osteoporosis is characterized by altered expression of exosomal long non-coding RNAs</w:t>
            </w:r>
          </w:p>
        </w:tc>
        <w:tc>
          <w:tcPr>
            <w:tcW w:w="2547" w:type="dxa"/>
            <w:vAlign w:val="center"/>
          </w:tcPr>
          <w:p w14:paraId="6FDB436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Zhaowei Teng</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 Yun Zhu</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 Xiguang Zhang, Yirong Teng, Sheng Lu*</w:t>
            </w:r>
          </w:p>
        </w:tc>
        <w:tc>
          <w:tcPr>
            <w:tcW w:w="2932" w:type="dxa"/>
            <w:vAlign w:val="center"/>
          </w:tcPr>
          <w:p w14:paraId="38D8D92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骨质疏松症以外泌体长链非编码RNA的表达改变为特征</w:t>
            </w:r>
          </w:p>
        </w:tc>
        <w:tc>
          <w:tcPr>
            <w:tcW w:w="2932" w:type="dxa"/>
            <w:vAlign w:val="center"/>
          </w:tcPr>
          <w:p w14:paraId="45E1743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0DFE442E">
        <w:tc>
          <w:tcPr>
            <w:tcW w:w="1687" w:type="dxa"/>
            <w:vAlign w:val="center"/>
          </w:tcPr>
          <w:p w14:paraId="3EE4D0D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3120" w:type="dxa"/>
            <w:vAlign w:val="center"/>
          </w:tcPr>
          <w:p w14:paraId="26B750A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Deciphering the chromatin spatial organization landscapes during BMMSC differentiation</w:t>
            </w:r>
          </w:p>
        </w:tc>
        <w:tc>
          <w:tcPr>
            <w:tcW w:w="2547" w:type="dxa"/>
            <w:vAlign w:val="center"/>
          </w:tcPr>
          <w:p w14:paraId="719A5B2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Zhaowei Teng</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 Yun Zhu</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 Da Lin, Qinggang Hao, Qiaoning Yue, Xiaochao Yu, Shuo Sun, Lihong Jiang*, Sheng Lu*</w:t>
            </w:r>
          </w:p>
        </w:tc>
        <w:tc>
          <w:tcPr>
            <w:tcW w:w="2932" w:type="dxa"/>
            <w:vAlign w:val="center"/>
          </w:tcPr>
          <w:p w14:paraId="1F04CC4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破译骨髓间充质干细胞分化过程中的染色质空间结构全景</w:t>
            </w:r>
          </w:p>
        </w:tc>
        <w:tc>
          <w:tcPr>
            <w:tcW w:w="2932" w:type="dxa"/>
            <w:vAlign w:val="center"/>
          </w:tcPr>
          <w:p w14:paraId="2898B67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2E212FDF">
        <w:tc>
          <w:tcPr>
            <w:tcW w:w="1687" w:type="dxa"/>
            <w:vAlign w:val="center"/>
          </w:tcPr>
          <w:p w14:paraId="4015D87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3120" w:type="dxa"/>
            <w:vAlign w:val="center"/>
          </w:tcPr>
          <w:p w14:paraId="284EEA14">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miR-542-3p prevents ovariectomy-induced osteoporosis in rats via targeting SFRP1</w:t>
            </w:r>
          </w:p>
        </w:tc>
        <w:tc>
          <w:tcPr>
            <w:tcW w:w="2547" w:type="dxa"/>
            <w:vAlign w:val="center"/>
          </w:tcPr>
          <w:p w14:paraId="53572C2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Xiguang Zhang</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 Yun Zhu</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 xml:space="preserve">, Chuanlin Zhang, Jianping Liu, Tianming Sun, Dan Li, Qiang Na, Cory J Xian, Liping Wang, </w:t>
            </w:r>
            <w:r>
              <w:rPr>
                <w:rFonts w:hint="eastAsia" w:ascii="仿宋_GB2312" w:hAnsi="仿宋_GB2312" w:eastAsia="仿宋_GB2312" w:cs="仿宋_GB2312"/>
                <w:b/>
                <w:sz w:val="32"/>
                <w:szCs w:val="32"/>
              </w:rPr>
              <w:t>Zhaowei Teng</w:t>
            </w:r>
            <w:r>
              <w:rPr>
                <w:rFonts w:hint="eastAsia" w:ascii="仿宋_GB2312" w:hAnsi="仿宋_GB2312" w:eastAsia="仿宋_GB2312" w:cs="仿宋_GB2312"/>
                <w:sz w:val="32"/>
                <w:szCs w:val="32"/>
              </w:rPr>
              <w:t>*</w:t>
            </w:r>
          </w:p>
        </w:tc>
        <w:tc>
          <w:tcPr>
            <w:tcW w:w="2932" w:type="dxa"/>
            <w:vAlign w:val="center"/>
          </w:tcPr>
          <w:p w14:paraId="0997871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miR-542-3p通过靶向SFRP1预防大鼠卵巢切除术诱导的骨质疏松</w:t>
            </w:r>
          </w:p>
        </w:tc>
        <w:tc>
          <w:tcPr>
            <w:tcW w:w="2932" w:type="dxa"/>
            <w:vAlign w:val="center"/>
          </w:tcPr>
          <w:p w14:paraId="626A3E5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1261CF2D">
        <w:tc>
          <w:tcPr>
            <w:tcW w:w="1687" w:type="dxa"/>
            <w:vAlign w:val="center"/>
          </w:tcPr>
          <w:p w14:paraId="608A3DE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3120" w:type="dxa"/>
            <w:vAlign w:val="center"/>
          </w:tcPr>
          <w:p w14:paraId="6C7166E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miR-142-5p in bone marrow-derived mesenchymal stem cells promotes osteoporosis involving targeting adhesion molecule VCAM-1 and inhibiting cell migration</w:t>
            </w:r>
          </w:p>
        </w:tc>
        <w:tc>
          <w:tcPr>
            <w:tcW w:w="2547" w:type="dxa"/>
            <w:vAlign w:val="center"/>
          </w:tcPr>
          <w:p w14:paraId="0F4F871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Zhaowei Teng</w:t>
            </w:r>
            <w:r>
              <w:rPr>
                <w:rFonts w:hint="eastAsia" w:ascii="仿宋_GB2312" w:hAnsi="仿宋_GB2312" w:eastAsia="仿宋_GB2312" w:cs="仿宋_GB2312"/>
                <w:b/>
                <w:sz w:val="32"/>
                <w:szCs w:val="32"/>
                <w:vertAlign w:val="superscript"/>
              </w:rPr>
              <w:t>#</w:t>
            </w:r>
            <w:r>
              <w:rPr>
                <w:rFonts w:hint="eastAsia" w:ascii="仿宋_GB2312" w:hAnsi="仿宋_GB2312" w:eastAsia="仿宋_GB2312" w:cs="仿宋_GB2312"/>
                <w:sz w:val="32"/>
                <w:szCs w:val="32"/>
              </w:rPr>
              <w:t>，Xueguan Xie</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 Yun Zhu, Jianping Liu, Xingbo Hu, Qiang Na, Xiongwen Zhang, Guojun Wei, Shen Xu, Yugang Liu, Xiguang Zhang*, Cory J. Xian*</w:t>
            </w:r>
          </w:p>
        </w:tc>
        <w:tc>
          <w:tcPr>
            <w:tcW w:w="2932" w:type="dxa"/>
            <w:vAlign w:val="center"/>
          </w:tcPr>
          <w:p w14:paraId="38768DD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骨髓来源间充质干细胞中的miR-142-5p通过靶向粘附分子VCAM-1抑制细胞迁移促进骨质疏松</w:t>
            </w:r>
          </w:p>
          <w:p w14:paraId="149D1F3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2932" w:type="dxa"/>
            <w:vAlign w:val="center"/>
          </w:tcPr>
          <w:p w14:paraId="70D85EB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bl>
    <w:p w14:paraId="78D2E4BE">
      <w:pPr>
        <w:rPr>
          <w:rFonts w:hint="eastAsia" w:ascii="仿宋_GB2312" w:hAnsi="仿宋_GB2312" w:eastAsia="仿宋_GB2312" w:cs="仿宋_GB2312"/>
          <w:sz w:val="32"/>
          <w:szCs w:val="32"/>
        </w:rPr>
      </w:pPr>
      <w:bookmarkStart w:id="3" w:name="_GoBack"/>
      <w:bookmarkEnd w:id="3"/>
    </w:p>
    <w:p w14:paraId="7627B52B">
      <w:pPr>
        <w:rPr>
          <w:rFonts w:hint="eastAsia" w:ascii="仿宋_GB2312" w:hAnsi="仿宋_GB2312" w:eastAsia="仿宋_GB2312" w:cs="仿宋_GB2312"/>
          <w:sz w:val="32"/>
          <w:szCs w:val="32"/>
        </w:rPr>
      </w:pPr>
    </w:p>
    <w:p w14:paraId="27B1B0EF">
      <w:pPr>
        <w:widowControl/>
        <w:spacing w:after="0"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主要完成人基本情况：</w:t>
      </w:r>
    </w:p>
    <w:tbl>
      <w:tblPr>
        <w:tblStyle w:val="5"/>
        <w:tblW w:w="10283"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1680"/>
        <w:gridCol w:w="3580"/>
        <w:gridCol w:w="2106"/>
        <w:gridCol w:w="2917"/>
      </w:tblGrid>
      <w:tr w14:paraId="132BF405">
        <w:trPr>
          <w:tblCellSpacing w:w="0" w:type="dxa"/>
          <w:jc w:val="center"/>
        </w:trPr>
        <w:tc>
          <w:tcPr>
            <w:tcW w:w="1680" w:type="dxa"/>
            <w:tcBorders>
              <w:tl2br w:val="nil"/>
              <w:tr2bl w:val="nil"/>
            </w:tcBorders>
            <w:tcMar>
              <w:top w:w="85" w:type="dxa"/>
              <w:left w:w="108" w:type="dxa"/>
              <w:bottom w:w="85" w:type="dxa"/>
              <w:right w:w="108" w:type="dxa"/>
            </w:tcMar>
            <w:vAlign w:val="center"/>
          </w:tcPr>
          <w:p w14:paraId="66DD7FC3">
            <w:pPr>
              <w:keepNext w:val="0"/>
              <w:keepLines w:val="0"/>
              <w:widowControl/>
              <w:suppressLineNumbers w:val="0"/>
              <w:spacing w:before="0" w:beforeAutospacing="0" w:after="0" w:afterAutospacing="0" w:line="560" w:lineRule="exact"/>
              <w:ind w:left="0" w:right="0"/>
              <w:rPr>
                <w:rFonts w:hint="eastAsia" w:ascii="仿宋_GB2312" w:hAnsi="仿宋_GB2312" w:eastAsia="仿宋_GB2312" w:cs="仿宋_GB2312"/>
                <w:b/>
                <w:bCs/>
                <w:sz w:val="32"/>
                <w:szCs w:val="32"/>
              </w:rPr>
            </w:pPr>
            <w:bookmarkStart w:id="2" w:name="_Hlk196484839"/>
            <w:r>
              <w:rPr>
                <w:rFonts w:hint="eastAsia" w:ascii="仿宋_GB2312" w:hAnsi="仿宋_GB2312" w:eastAsia="仿宋_GB2312" w:cs="仿宋_GB2312"/>
                <w:b/>
                <w:bCs/>
                <w:sz w:val="32"/>
                <w:szCs w:val="32"/>
              </w:rPr>
              <w:t>姓名</w:t>
            </w:r>
          </w:p>
        </w:tc>
        <w:tc>
          <w:tcPr>
            <w:tcW w:w="3580" w:type="dxa"/>
            <w:tcBorders>
              <w:tl2br w:val="nil"/>
              <w:tr2bl w:val="nil"/>
            </w:tcBorders>
            <w:tcMar>
              <w:top w:w="85" w:type="dxa"/>
              <w:left w:w="108" w:type="dxa"/>
              <w:bottom w:w="85" w:type="dxa"/>
              <w:right w:w="108" w:type="dxa"/>
            </w:tcMar>
            <w:vAlign w:val="center"/>
          </w:tcPr>
          <w:p w14:paraId="5A7B4BDB">
            <w:pPr>
              <w:keepNext w:val="0"/>
              <w:keepLines w:val="0"/>
              <w:widowControl/>
              <w:suppressLineNumbers w:val="0"/>
              <w:spacing w:before="0" w:beforeAutospacing="0" w:after="0" w:afterAutospacing="0" w:line="560" w:lineRule="exact"/>
              <w:ind w:left="0" w:right="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工作单位</w:t>
            </w:r>
          </w:p>
        </w:tc>
        <w:tc>
          <w:tcPr>
            <w:tcW w:w="2106" w:type="dxa"/>
            <w:tcBorders>
              <w:tl2br w:val="nil"/>
              <w:tr2bl w:val="nil"/>
            </w:tcBorders>
            <w:tcMar>
              <w:top w:w="85" w:type="dxa"/>
              <w:left w:w="108" w:type="dxa"/>
              <w:bottom w:w="85" w:type="dxa"/>
              <w:right w:w="108" w:type="dxa"/>
            </w:tcMar>
            <w:vAlign w:val="center"/>
          </w:tcPr>
          <w:p w14:paraId="4719FF9A">
            <w:pPr>
              <w:keepNext w:val="0"/>
              <w:keepLines w:val="0"/>
              <w:widowControl/>
              <w:suppressLineNumbers w:val="0"/>
              <w:spacing w:before="0" w:beforeAutospacing="0" w:after="0" w:afterAutospacing="0" w:line="560" w:lineRule="exact"/>
              <w:ind w:left="0" w:right="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学历/职称</w:t>
            </w:r>
          </w:p>
        </w:tc>
        <w:tc>
          <w:tcPr>
            <w:tcW w:w="2917" w:type="dxa"/>
            <w:tcBorders>
              <w:tl2br w:val="nil"/>
              <w:tr2bl w:val="nil"/>
            </w:tcBorders>
            <w:tcMar>
              <w:top w:w="85" w:type="dxa"/>
              <w:left w:w="108" w:type="dxa"/>
              <w:bottom w:w="85" w:type="dxa"/>
              <w:right w:w="108" w:type="dxa"/>
            </w:tcMar>
            <w:vAlign w:val="center"/>
          </w:tcPr>
          <w:p w14:paraId="4B6F9820">
            <w:pPr>
              <w:keepNext w:val="0"/>
              <w:keepLines w:val="0"/>
              <w:widowControl/>
              <w:suppressLineNumbers w:val="0"/>
              <w:spacing w:before="0" w:beforeAutospacing="0" w:after="0" w:afterAutospacing="0" w:line="560" w:lineRule="exact"/>
              <w:ind w:left="0" w:right="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职务</w:t>
            </w:r>
          </w:p>
        </w:tc>
      </w:tr>
      <w:tr w14:paraId="31BCEAF5">
        <w:trPr>
          <w:tblCellSpacing w:w="0" w:type="dxa"/>
          <w:jc w:val="center"/>
        </w:trPr>
        <w:tc>
          <w:tcPr>
            <w:tcW w:w="1680" w:type="dxa"/>
            <w:tcBorders>
              <w:tl2br w:val="nil"/>
              <w:tr2bl w:val="nil"/>
            </w:tcBorders>
            <w:tcMar>
              <w:top w:w="85" w:type="dxa"/>
              <w:left w:w="108" w:type="dxa"/>
              <w:bottom w:w="85" w:type="dxa"/>
              <w:right w:w="108" w:type="dxa"/>
            </w:tcMar>
          </w:tcPr>
          <w:p w14:paraId="183D28FA">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滕兆伟</w:t>
            </w:r>
          </w:p>
        </w:tc>
        <w:tc>
          <w:tcPr>
            <w:tcW w:w="3580" w:type="dxa"/>
            <w:tcBorders>
              <w:tl2br w:val="nil"/>
              <w:tr2bl w:val="nil"/>
            </w:tcBorders>
            <w:tcMar>
              <w:top w:w="85" w:type="dxa"/>
              <w:left w:w="108" w:type="dxa"/>
              <w:bottom w:w="85" w:type="dxa"/>
              <w:right w:w="108" w:type="dxa"/>
            </w:tcMar>
          </w:tcPr>
          <w:p w14:paraId="7D59CB65">
            <w:pPr>
              <w:keepNext w:val="0"/>
              <w:keepLines w:val="0"/>
              <w:widowControl/>
              <w:suppressLineNumbers w:val="0"/>
              <w:spacing w:before="0" w:beforeAutospacing="0" w:after="0" w:afterAutospacing="0" w:line="560" w:lineRule="exac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昆明医科大学</w:t>
            </w:r>
          </w:p>
        </w:tc>
        <w:tc>
          <w:tcPr>
            <w:tcW w:w="2106" w:type="dxa"/>
            <w:tcBorders>
              <w:tl2br w:val="nil"/>
              <w:tr2bl w:val="nil"/>
            </w:tcBorders>
            <w:tcMar>
              <w:top w:w="85" w:type="dxa"/>
              <w:left w:w="108" w:type="dxa"/>
              <w:bottom w:w="85" w:type="dxa"/>
              <w:right w:w="108" w:type="dxa"/>
            </w:tcMar>
          </w:tcPr>
          <w:p w14:paraId="78DCD3F4">
            <w:pPr>
              <w:keepNext w:val="0"/>
              <w:keepLines w:val="0"/>
              <w:widowControl/>
              <w:suppressLineNumbers w:val="0"/>
              <w:spacing w:before="0" w:beforeAutospacing="0" w:after="0" w:afterAutospacing="0" w:line="560" w:lineRule="exac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博士/教授</w:t>
            </w:r>
          </w:p>
        </w:tc>
        <w:tc>
          <w:tcPr>
            <w:tcW w:w="2917" w:type="dxa"/>
            <w:tcBorders>
              <w:tl2br w:val="nil"/>
              <w:tr2bl w:val="nil"/>
            </w:tcBorders>
            <w:tcMar>
              <w:top w:w="85" w:type="dxa"/>
              <w:left w:w="108" w:type="dxa"/>
              <w:bottom w:w="85" w:type="dxa"/>
              <w:right w:w="108" w:type="dxa"/>
            </w:tcMar>
            <w:vAlign w:val="center"/>
          </w:tcPr>
          <w:p w14:paraId="4ABC37FE">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lang w:eastAsia="zh-CN"/>
              </w:rPr>
            </w:pPr>
            <w:r>
              <w:rPr>
                <w:rStyle w:val="8"/>
                <w:rFonts w:hint="eastAsia" w:ascii="仿宋_GB2312" w:hAnsi="仿宋_GB2312" w:eastAsia="仿宋_GB2312" w:cs="仿宋_GB2312"/>
                <w:b w:val="0"/>
                <w:bCs/>
                <w:kern w:val="2"/>
                <w:sz w:val="32"/>
                <w:szCs w:val="32"/>
                <w:lang w:val="en-US" w:eastAsia="zh-CN" w:bidi="ar"/>
              </w:rPr>
              <w:t>科技处副处长</w:t>
            </w:r>
            <w:r>
              <w:rPr>
                <w:rFonts w:hint="eastAsia" w:ascii="仿宋_GB2312" w:hAnsi="仿宋_GB2312" w:eastAsia="仿宋_GB2312" w:cs="仿宋_GB2312"/>
                <w:kern w:val="2"/>
                <w:sz w:val="32"/>
                <w:szCs w:val="32"/>
                <w:lang w:val="en-US" w:eastAsia="zh-CN" w:bidi="ar"/>
              </w:rPr>
              <w:t xml:space="preserve"> </w:t>
            </w:r>
          </w:p>
        </w:tc>
      </w:tr>
      <w:tr w14:paraId="475BBF8E">
        <w:trPr>
          <w:tblCellSpacing w:w="0" w:type="dxa"/>
          <w:jc w:val="center"/>
        </w:trPr>
        <w:tc>
          <w:tcPr>
            <w:tcW w:w="1680" w:type="dxa"/>
            <w:tcBorders>
              <w:tl2br w:val="nil"/>
              <w:tr2bl w:val="nil"/>
            </w:tcBorders>
            <w:tcMar>
              <w:top w:w="85" w:type="dxa"/>
              <w:left w:w="108" w:type="dxa"/>
              <w:bottom w:w="85" w:type="dxa"/>
              <w:right w:w="108" w:type="dxa"/>
            </w:tcMar>
          </w:tcPr>
          <w:p w14:paraId="378E911F">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张锡光</w:t>
            </w:r>
          </w:p>
        </w:tc>
        <w:tc>
          <w:tcPr>
            <w:tcW w:w="3580" w:type="dxa"/>
            <w:tcBorders>
              <w:tl2br w:val="nil"/>
              <w:tr2bl w:val="nil"/>
            </w:tcBorders>
            <w:tcMar>
              <w:top w:w="85" w:type="dxa"/>
              <w:left w:w="108" w:type="dxa"/>
              <w:bottom w:w="85" w:type="dxa"/>
              <w:right w:w="108" w:type="dxa"/>
            </w:tcMar>
          </w:tcPr>
          <w:p w14:paraId="73621D1D">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昆明医科大学第六附属医院</w:t>
            </w:r>
          </w:p>
        </w:tc>
        <w:tc>
          <w:tcPr>
            <w:tcW w:w="2106" w:type="dxa"/>
            <w:tcBorders>
              <w:tl2br w:val="nil"/>
              <w:tr2bl w:val="nil"/>
            </w:tcBorders>
            <w:tcMar>
              <w:top w:w="85" w:type="dxa"/>
              <w:left w:w="108" w:type="dxa"/>
              <w:bottom w:w="85" w:type="dxa"/>
              <w:right w:w="108" w:type="dxa"/>
            </w:tcMar>
          </w:tcPr>
          <w:p w14:paraId="1603CCFC">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硕士/主任医师</w:t>
            </w:r>
          </w:p>
        </w:tc>
        <w:tc>
          <w:tcPr>
            <w:tcW w:w="2917" w:type="dxa"/>
            <w:tcBorders>
              <w:tl2br w:val="nil"/>
              <w:tr2bl w:val="nil"/>
            </w:tcBorders>
            <w:tcMar>
              <w:top w:w="85" w:type="dxa"/>
              <w:left w:w="108" w:type="dxa"/>
              <w:bottom w:w="85" w:type="dxa"/>
              <w:right w:w="108" w:type="dxa"/>
            </w:tcMar>
            <w:vAlign w:val="center"/>
          </w:tcPr>
          <w:p w14:paraId="2ADBA528">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副院长</w:t>
            </w:r>
          </w:p>
        </w:tc>
      </w:tr>
      <w:tr w14:paraId="4674E936">
        <w:trPr>
          <w:tblCellSpacing w:w="0" w:type="dxa"/>
          <w:jc w:val="center"/>
        </w:trPr>
        <w:tc>
          <w:tcPr>
            <w:tcW w:w="1680" w:type="dxa"/>
            <w:tcBorders>
              <w:tl2br w:val="nil"/>
              <w:tr2bl w:val="nil"/>
            </w:tcBorders>
            <w:tcMar>
              <w:top w:w="85" w:type="dxa"/>
              <w:left w:w="108" w:type="dxa"/>
              <w:bottom w:w="85" w:type="dxa"/>
              <w:right w:w="108" w:type="dxa"/>
            </w:tcMar>
          </w:tcPr>
          <w:p w14:paraId="25D08421">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朱芸</w:t>
            </w:r>
          </w:p>
        </w:tc>
        <w:tc>
          <w:tcPr>
            <w:tcW w:w="3580" w:type="dxa"/>
            <w:tcBorders>
              <w:tl2br w:val="nil"/>
              <w:tr2bl w:val="nil"/>
            </w:tcBorders>
            <w:tcMar>
              <w:top w:w="85" w:type="dxa"/>
              <w:left w:w="108" w:type="dxa"/>
              <w:bottom w:w="85" w:type="dxa"/>
              <w:right w:w="108" w:type="dxa"/>
            </w:tcMar>
          </w:tcPr>
          <w:p w14:paraId="4B699BC9">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昆明医科大学第二附属医院</w:t>
            </w:r>
          </w:p>
        </w:tc>
        <w:tc>
          <w:tcPr>
            <w:tcW w:w="2106" w:type="dxa"/>
            <w:tcBorders>
              <w:tl2br w:val="nil"/>
              <w:tr2bl w:val="nil"/>
            </w:tcBorders>
            <w:tcMar>
              <w:top w:w="85" w:type="dxa"/>
              <w:left w:w="108" w:type="dxa"/>
              <w:bottom w:w="85" w:type="dxa"/>
              <w:right w:w="108" w:type="dxa"/>
            </w:tcMar>
          </w:tcPr>
          <w:p w14:paraId="2D8A57E5">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博士/副主任医师</w:t>
            </w:r>
          </w:p>
        </w:tc>
        <w:tc>
          <w:tcPr>
            <w:tcW w:w="2917" w:type="dxa"/>
            <w:tcBorders>
              <w:tl2br w:val="nil"/>
              <w:tr2bl w:val="nil"/>
            </w:tcBorders>
            <w:tcMar>
              <w:top w:w="85" w:type="dxa"/>
              <w:left w:w="108" w:type="dxa"/>
              <w:bottom w:w="85" w:type="dxa"/>
              <w:right w:w="108" w:type="dxa"/>
            </w:tcMar>
            <w:vAlign w:val="center"/>
          </w:tcPr>
          <w:p w14:paraId="2F5AB8EB">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无</w:t>
            </w:r>
          </w:p>
        </w:tc>
      </w:tr>
      <w:tr w14:paraId="2B8F8400">
        <w:trPr>
          <w:tblCellSpacing w:w="0" w:type="dxa"/>
          <w:jc w:val="center"/>
        </w:trPr>
        <w:tc>
          <w:tcPr>
            <w:tcW w:w="1680" w:type="dxa"/>
            <w:tcMar>
              <w:top w:w="85" w:type="dxa"/>
              <w:left w:w="108" w:type="dxa"/>
              <w:bottom w:w="85" w:type="dxa"/>
              <w:right w:w="108" w:type="dxa"/>
            </w:tcMar>
          </w:tcPr>
          <w:p w14:paraId="0E238E4B">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岳乔宁</w:t>
            </w:r>
          </w:p>
        </w:tc>
        <w:tc>
          <w:tcPr>
            <w:tcW w:w="3580" w:type="dxa"/>
            <w:tcMar>
              <w:top w:w="85" w:type="dxa"/>
              <w:left w:w="108" w:type="dxa"/>
              <w:bottom w:w="85" w:type="dxa"/>
              <w:right w:w="108" w:type="dxa"/>
            </w:tcMar>
          </w:tcPr>
          <w:p w14:paraId="05168647">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昆明医科大学第六附属医院</w:t>
            </w:r>
          </w:p>
        </w:tc>
        <w:tc>
          <w:tcPr>
            <w:tcW w:w="2106" w:type="dxa"/>
            <w:tcMar>
              <w:top w:w="85" w:type="dxa"/>
              <w:left w:w="108" w:type="dxa"/>
              <w:bottom w:w="85" w:type="dxa"/>
              <w:right w:w="108" w:type="dxa"/>
            </w:tcMar>
          </w:tcPr>
          <w:p w14:paraId="4C29F9A8">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硕士/主治医师</w:t>
            </w:r>
          </w:p>
        </w:tc>
        <w:tc>
          <w:tcPr>
            <w:tcW w:w="2917" w:type="dxa"/>
            <w:tcMar>
              <w:top w:w="85" w:type="dxa"/>
              <w:left w:w="108" w:type="dxa"/>
              <w:bottom w:w="85" w:type="dxa"/>
              <w:right w:w="108" w:type="dxa"/>
            </w:tcMar>
            <w:vAlign w:val="center"/>
          </w:tcPr>
          <w:p w14:paraId="015B6DCA">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无</w:t>
            </w:r>
          </w:p>
        </w:tc>
      </w:tr>
      <w:tr w14:paraId="3F6D5FEE">
        <w:trPr>
          <w:tblCellSpacing w:w="0" w:type="dxa"/>
          <w:jc w:val="center"/>
        </w:trPr>
        <w:tc>
          <w:tcPr>
            <w:tcW w:w="1680" w:type="dxa"/>
            <w:tcMar>
              <w:top w:w="85" w:type="dxa"/>
              <w:left w:w="108" w:type="dxa"/>
              <w:bottom w:w="85" w:type="dxa"/>
              <w:right w:w="108" w:type="dxa"/>
            </w:tcMar>
          </w:tcPr>
          <w:p w14:paraId="3BC7AE85">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滕宜荣</w:t>
            </w:r>
          </w:p>
        </w:tc>
        <w:tc>
          <w:tcPr>
            <w:tcW w:w="3580" w:type="dxa"/>
            <w:tcMar>
              <w:top w:w="85" w:type="dxa"/>
              <w:left w:w="108" w:type="dxa"/>
              <w:bottom w:w="85" w:type="dxa"/>
              <w:right w:w="108" w:type="dxa"/>
            </w:tcMar>
          </w:tcPr>
          <w:p w14:paraId="767F0456">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昆明医科大学第六附属医院</w:t>
            </w:r>
          </w:p>
        </w:tc>
        <w:tc>
          <w:tcPr>
            <w:tcW w:w="2106" w:type="dxa"/>
            <w:tcMar>
              <w:top w:w="85" w:type="dxa"/>
              <w:left w:w="108" w:type="dxa"/>
              <w:bottom w:w="85" w:type="dxa"/>
              <w:right w:w="108" w:type="dxa"/>
            </w:tcMar>
          </w:tcPr>
          <w:p w14:paraId="01D63B93">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学士/副主任医师</w:t>
            </w:r>
          </w:p>
        </w:tc>
        <w:tc>
          <w:tcPr>
            <w:tcW w:w="2917" w:type="dxa"/>
            <w:tcMar>
              <w:top w:w="85" w:type="dxa"/>
              <w:left w:w="108" w:type="dxa"/>
              <w:bottom w:w="85" w:type="dxa"/>
              <w:right w:w="108" w:type="dxa"/>
            </w:tcMar>
            <w:vAlign w:val="center"/>
          </w:tcPr>
          <w:p w14:paraId="12B83246">
            <w:pPr>
              <w:keepNext w:val="0"/>
              <w:keepLines w:val="0"/>
              <w:widowControl/>
              <w:suppressLineNumbers w:val="0"/>
              <w:spacing w:before="0" w:beforeAutospacing="0" w:afterAutospacing="0"/>
              <w:ind w:left="0" w:right="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b w:val="0"/>
                <w:bCs/>
                <w:kern w:val="2"/>
                <w:sz w:val="32"/>
                <w:szCs w:val="32"/>
                <w:lang w:val="en-US" w:eastAsia="zh-CN" w:bidi="ar"/>
              </w:rPr>
              <w:t>无</w:t>
            </w:r>
          </w:p>
        </w:tc>
      </w:tr>
      <w:bookmarkEnd w:id="2"/>
    </w:tbl>
    <w:p w14:paraId="0D323234">
      <w:pPr>
        <w:rPr>
          <w:rFonts w:hint="eastAsia" w:ascii="仿宋_GB2312" w:hAnsi="仿宋_GB2312" w:eastAsia="仿宋_GB2312" w:cs="仿宋_GB2312"/>
          <w:sz w:val="32"/>
          <w:szCs w:val="32"/>
        </w:rPr>
      </w:pPr>
    </w:p>
    <w:sectPr>
      <w:pgSz w:w="11906" w:h="16838"/>
      <w:pgMar w:top="1270" w:right="1800" w:bottom="132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7E3FF7"/>
    <w:rsid w:val="0003055E"/>
    <w:rsid w:val="000804BD"/>
    <w:rsid w:val="000A2EC6"/>
    <w:rsid w:val="000B44D3"/>
    <w:rsid w:val="000F515F"/>
    <w:rsid w:val="00111BC8"/>
    <w:rsid w:val="00115629"/>
    <w:rsid w:val="00143445"/>
    <w:rsid w:val="001620EB"/>
    <w:rsid w:val="001A1AB9"/>
    <w:rsid w:val="001E05B6"/>
    <w:rsid w:val="001E4476"/>
    <w:rsid w:val="00277FA2"/>
    <w:rsid w:val="002A620E"/>
    <w:rsid w:val="00361878"/>
    <w:rsid w:val="003E4900"/>
    <w:rsid w:val="004075D0"/>
    <w:rsid w:val="0046615B"/>
    <w:rsid w:val="004809FE"/>
    <w:rsid w:val="004A6F73"/>
    <w:rsid w:val="00561567"/>
    <w:rsid w:val="005F00C7"/>
    <w:rsid w:val="005F3C16"/>
    <w:rsid w:val="005F4C6D"/>
    <w:rsid w:val="00606952"/>
    <w:rsid w:val="00622FA5"/>
    <w:rsid w:val="00626B5A"/>
    <w:rsid w:val="00661C71"/>
    <w:rsid w:val="006C363A"/>
    <w:rsid w:val="006F2659"/>
    <w:rsid w:val="00727F65"/>
    <w:rsid w:val="00770C6D"/>
    <w:rsid w:val="00797AED"/>
    <w:rsid w:val="007C1DE8"/>
    <w:rsid w:val="007D696E"/>
    <w:rsid w:val="007F5F18"/>
    <w:rsid w:val="00826F6C"/>
    <w:rsid w:val="00866301"/>
    <w:rsid w:val="008E48EC"/>
    <w:rsid w:val="00916EDD"/>
    <w:rsid w:val="00931BD3"/>
    <w:rsid w:val="009946DC"/>
    <w:rsid w:val="00A103BA"/>
    <w:rsid w:val="00A3770E"/>
    <w:rsid w:val="00A92CD5"/>
    <w:rsid w:val="00B133A7"/>
    <w:rsid w:val="00B26607"/>
    <w:rsid w:val="00B83B78"/>
    <w:rsid w:val="00C00EAB"/>
    <w:rsid w:val="00C32EB7"/>
    <w:rsid w:val="00C65D2E"/>
    <w:rsid w:val="00CA513A"/>
    <w:rsid w:val="00CB6CF1"/>
    <w:rsid w:val="00D143E7"/>
    <w:rsid w:val="00D45D5F"/>
    <w:rsid w:val="00D97E0F"/>
    <w:rsid w:val="00E0208E"/>
    <w:rsid w:val="00E94967"/>
    <w:rsid w:val="00ED343B"/>
    <w:rsid w:val="00F0112C"/>
    <w:rsid w:val="00F3405A"/>
    <w:rsid w:val="00F467FC"/>
    <w:rsid w:val="08206641"/>
    <w:rsid w:val="0E811E04"/>
    <w:rsid w:val="127001C5"/>
    <w:rsid w:val="17EA27C8"/>
    <w:rsid w:val="188D5986"/>
    <w:rsid w:val="1BCA4DEA"/>
    <w:rsid w:val="20390790"/>
    <w:rsid w:val="215F7D83"/>
    <w:rsid w:val="274717CD"/>
    <w:rsid w:val="29325D7D"/>
    <w:rsid w:val="2C4E1120"/>
    <w:rsid w:val="2E0917A2"/>
    <w:rsid w:val="2FC516F9"/>
    <w:rsid w:val="30BD6874"/>
    <w:rsid w:val="331C5AD4"/>
    <w:rsid w:val="3A3C4CAD"/>
    <w:rsid w:val="3C2D0D52"/>
    <w:rsid w:val="3D8A3F82"/>
    <w:rsid w:val="3EF69FA9"/>
    <w:rsid w:val="3F2B709E"/>
    <w:rsid w:val="413C5593"/>
    <w:rsid w:val="41DD0B24"/>
    <w:rsid w:val="485007AA"/>
    <w:rsid w:val="491F539C"/>
    <w:rsid w:val="497D1F39"/>
    <w:rsid w:val="4E1F4272"/>
    <w:rsid w:val="4FEF2F28"/>
    <w:rsid w:val="507F724A"/>
    <w:rsid w:val="532540D9"/>
    <w:rsid w:val="56FE711B"/>
    <w:rsid w:val="57B317F1"/>
    <w:rsid w:val="59401C6C"/>
    <w:rsid w:val="60695F4D"/>
    <w:rsid w:val="673D5A3D"/>
    <w:rsid w:val="6D9E6B0A"/>
    <w:rsid w:val="6E8201DA"/>
    <w:rsid w:val="6EA939B8"/>
    <w:rsid w:val="6F5D6004"/>
    <w:rsid w:val="6F6D2C38"/>
    <w:rsid w:val="6F7E3FF7"/>
    <w:rsid w:val="75CD778F"/>
    <w:rsid w:val="78FD327E"/>
    <w:rsid w:val="7BB67714"/>
    <w:rsid w:val="7C9C147C"/>
    <w:rsid w:val="7D0A5F6A"/>
    <w:rsid w:val="7E4234E1"/>
    <w:rsid w:val="87FB9509"/>
    <w:rsid w:val="DFDE2D5F"/>
    <w:rsid w:val="E3DD0B77"/>
    <w:rsid w:val="FF1F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1815</Words>
  <Characters>3249</Characters>
  <Lines>203</Lines>
  <Paragraphs>107</Paragraphs>
  <TotalTime>1</TotalTime>
  <ScaleCrop>false</ScaleCrop>
  <LinksUpToDate>false</LinksUpToDate>
  <CharactersWithSpaces>4957</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2026-04-24T12:04:00Z</dcterms:created>
  <dc:creator>龙三</dc:creator>
  <cp:lastModifiedBy>云儿飘飘</cp:lastModifiedBy>
  <dcterms:modified xsi:type="dcterms:W3CDTF">2026-05-14T19:15:38Z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B0125BD773FF3100B5AE056A3D36BD3A_43</vt:lpwstr>
  </property>
  <property fmtid="{D5CDD505-2E9C-101B-9397-08002B2CF9AE}" pid="4" name="KSOTemplateDocerSaveRecord">
    <vt:lpwstr>eyJoZGlkIjoiZmY5NzczN2YyZGY1ZmU2OGVmODFmNjE5YmVhYzFmMDMiLCJ1c2VySWQiOiIxMTMzMDQ3NjgyIn0=</vt:lpwstr>
  </property>
</Properties>
</file>